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C6115B">
        <w:rPr>
          <w:rFonts w:ascii="Arial" w:hAnsi="Arial" w:cs="Arial"/>
          <w:b/>
          <w:sz w:val="20"/>
          <w:szCs w:val="20"/>
        </w:rPr>
        <w:t>Psychologia muzyki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38430E">
        <w:rPr>
          <w:rFonts w:ascii="Arial" w:hAnsi="Arial" w:cs="Arial"/>
          <w:b/>
          <w:sz w:val="20"/>
          <w:szCs w:val="20"/>
        </w:rPr>
        <w:t>P</w:t>
      </w:r>
      <w:r w:rsidR="00D47BCE" w:rsidRPr="00D47BCE">
        <w:rPr>
          <w:rFonts w:ascii="Arial" w:hAnsi="Arial" w:cs="Arial"/>
          <w:b/>
          <w:sz w:val="20"/>
          <w:szCs w:val="20"/>
        </w:rPr>
        <w:t>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95377B">
        <w:rPr>
          <w:rFonts w:ascii="Arial" w:hAnsi="Arial" w:cs="Arial"/>
          <w:b/>
          <w:sz w:val="20"/>
          <w:szCs w:val="20"/>
        </w:rPr>
        <w:t>ćwiczenia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38430E">
        <w:rPr>
          <w:rFonts w:ascii="Arial" w:hAnsi="Arial" w:cs="Arial"/>
          <w:b/>
          <w:sz w:val="20"/>
          <w:szCs w:val="20"/>
        </w:rPr>
        <w:t>3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</w:t>
      </w:r>
      <w:proofErr w:type="gramStart"/>
      <w:r w:rsidRPr="00650E93">
        <w:rPr>
          <w:rFonts w:ascii="Arial" w:hAnsi="Arial" w:cs="Arial"/>
          <w:sz w:val="20"/>
          <w:szCs w:val="20"/>
        </w:rPr>
        <w:t>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/dr hab., </w:t>
      </w:r>
      <w:hyperlink r:id="rId9" w:history="1">
        <w:r w:rsidR="00E6559B" w:rsidRPr="0095367F">
          <w:rPr>
            <w:rStyle w:val="Hipercze"/>
            <w:rFonts w:ascii="Arial" w:hAnsi="Arial" w:cs="Arial"/>
            <w:b/>
            <w:sz w:val="20"/>
            <w:szCs w:val="20"/>
          </w:rPr>
          <w:t>podlip@amu.edu.pl</w:t>
        </w:r>
      </w:hyperlink>
      <w:r w:rsidR="00E6559B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38430E" w:rsidRPr="0038430E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C1</w:t>
      </w:r>
      <w:r w:rsidRPr="0038430E">
        <w:rPr>
          <w:rFonts w:ascii="Arial" w:hAnsi="Arial" w:cs="Arial"/>
          <w:sz w:val="20"/>
          <w:szCs w:val="20"/>
        </w:rPr>
        <w:t xml:space="preserve"> wykształcenie umiejętności analizy i rozumienia: metod badawczych stosowanych w psychologii muzyki, redukcyjnego sposobu wyjaśniania zjawisk kulturowych, terminologii muzykologicznej z perspektywy psychologii muzyki (U);</w:t>
      </w:r>
    </w:p>
    <w:p w:rsidR="0038430E" w:rsidRPr="0038430E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38430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2</w:t>
      </w:r>
      <w:r w:rsidRPr="0038430E">
        <w:rPr>
          <w:rFonts w:ascii="Arial" w:hAnsi="Arial" w:cs="Arial"/>
          <w:sz w:val="20"/>
          <w:szCs w:val="20"/>
        </w:rPr>
        <w:t xml:space="preserve"> pogłębienie umiejętności formułowania tez naukowych w oparciu o wiedzę zaczerpniętą ze źródeł literaturowych polsko i angielskojęzycznych (U);</w:t>
      </w:r>
    </w:p>
    <w:p w:rsidR="007224BB" w:rsidRPr="007224BB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38430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3</w:t>
      </w:r>
      <w:r w:rsidRPr="0038430E">
        <w:rPr>
          <w:rFonts w:ascii="Arial" w:hAnsi="Arial" w:cs="Arial"/>
          <w:sz w:val="20"/>
          <w:szCs w:val="20"/>
        </w:rPr>
        <w:t xml:space="preserve"> wykształcenie świadomości konieczności podejmowania samokształcenia i dokonywania samodzielnego wyboru źródeł wiedzy (U)</w:t>
      </w:r>
      <w:r>
        <w:rPr>
          <w:rFonts w:ascii="Arial" w:hAnsi="Arial" w:cs="Arial"/>
          <w:sz w:val="20"/>
          <w:szCs w:val="20"/>
        </w:rPr>
        <w:t>.</w:t>
      </w:r>
    </w:p>
    <w:p w:rsidR="00D47BCE" w:rsidRPr="00650E93" w:rsidRDefault="00D47BCE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38430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38430E">
        <w:rPr>
          <w:rFonts w:ascii="Arial" w:hAnsi="Arial" w:cs="Arial"/>
          <w:b/>
          <w:sz w:val="20"/>
          <w:szCs w:val="20"/>
        </w:rPr>
        <w:t>Znajomość języka angielskiego B2, potwierdzona znajomość współczesnej notacji muzycznej, wiedza z zakresu akustyki i psychoakustyki muzyki oraz umiejętność tradycyjnej analizy muzycznej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944E04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944E04">
        <w:rPr>
          <w:rFonts w:ascii="Arial" w:hAnsi="Arial" w:cs="Arial"/>
          <w:sz w:val="20"/>
          <w:szCs w:val="20"/>
        </w:rPr>
        <w:t>uczenia się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38430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PMC_01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Korzysta ze źródeł literaturowych, także w języku angielskim</w:t>
            </w:r>
          </w:p>
        </w:tc>
        <w:tc>
          <w:tcPr>
            <w:tcW w:w="1985" w:type="dxa"/>
          </w:tcPr>
          <w:p w:rsidR="0038430E" w:rsidRPr="003330F8" w:rsidRDefault="0038430E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Muz_U07; Muz_U10; Muz_U11</w:t>
            </w:r>
          </w:p>
        </w:tc>
      </w:tr>
      <w:tr w:rsidR="0038430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PMC_02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Formułuje tezy naukowe dotyczące zjawisk muzycznych</w:t>
            </w:r>
          </w:p>
        </w:tc>
        <w:tc>
          <w:tcPr>
            <w:tcW w:w="1985" w:type="dxa"/>
          </w:tcPr>
          <w:p w:rsidR="0038430E" w:rsidRPr="003330F8" w:rsidRDefault="0038430E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Muz_U04; Muz_U05</w:t>
            </w:r>
          </w:p>
        </w:tc>
      </w:tr>
      <w:tr w:rsidR="0038430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PMC_03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Weryfikuje poglądy humanistyczne z perspektywy wiedzy psychologicznej</w:t>
            </w:r>
          </w:p>
        </w:tc>
        <w:tc>
          <w:tcPr>
            <w:tcW w:w="1985" w:type="dxa"/>
          </w:tcPr>
          <w:p w:rsidR="0038430E" w:rsidRPr="003330F8" w:rsidRDefault="0038430E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Muz_U07; Muz_U10</w:t>
            </w:r>
          </w:p>
        </w:tc>
      </w:tr>
      <w:tr w:rsidR="0038430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PMC_04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8430E" w:rsidRDefault="0038430E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Jest świadomy konieczności samodzielnego poszukiwania wiedzy</w:t>
            </w:r>
          </w:p>
        </w:tc>
        <w:tc>
          <w:tcPr>
            <w:tcW w:w="1985" w:type="dxa"/>
          </w:tcPr>
          <w:p w:rsidR="0038430E" w:rsidRPr="003330F8" w:rsidRDefault="0038430E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Muz_K01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Dyskusja nad teoriami przetwarzania muzycznych zjawisk wysokościowych i czasowych oraz wpływu notacji muzycznej na poznanie muzyczne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_03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_09; PM_10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Charakterystyka najpopularniejszych poglądów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na przetwarzanie emocji podczas słuchania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_03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_04; PM_05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Dysfunkcje muzyczne w amuzjach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PM_03; 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_05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_06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Interpretacja wybranych doniesień naukowych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PM_08; 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_09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PM_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430E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Efekt Mozarta – charakterystyka zjawiska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PM_05; PM_09; PM_10</w:t>
            </w:r>
          </w:p>
        </w:tc>
      </w:tr>
      <w:tr w:rsidR="0038430E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Metody neuroobrazowe stosowane w badaniach przetwarzania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PM_05; PM_06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Dyskusja nad teoriami przetwarzania muzycznych zjawisk wysokościowych i czasowych oraz wpływu notacji muzycznej na poznanie muzyczne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_03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_09; PM_10</w:t>
            </w:r>
          </w:p>
        </w:tc>
      </w:tr>
      <w:tr w:rsidR="0038430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38430E" w:rsidRPr="00FF6949" w:rsidRDefault="0038430E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Charakterystyka najpopularniejszych poglądów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na przetwarzanie emocji podczas słuchania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8430E" w:rsidRPr="00FF6949" w:rsidRDefault="0038430E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_03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_04; PM_05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38430E" w:rsidRPr="0038430E" w:rsidRDefault="0038430E" w:rsidP="0038430E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38430E">
        <w:rPr>
          <w:rFonts w:ascii="Arial" w:hAnsi="Arial" w:cs="Arial"/>
          <w:sz w:val="20"/>
          <w:szCs w:val="20"/>
          <w:lang w:val="en-US"/>
        </w:rPr>
        <w:t>Thompson, W.F. (2009) Music, Thought, and Feeling: Understanding the Psychology of Music, New York: Oxford University Press.</w:t>
      </w:r>
    </w:p>
    <w:p w:rsidR="00807CF0" w:rsidRPr="00807CF0" w:rsidRDefault="0038430E" w:rsidP="0038430E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8430E">
        <w:rPr>
          <w:rFonts w:ascii="Arial" w:hAnsi="Arial" w:cs="Arial"/>
          <w:sz w:val="20"/>
          <w:szCs w:val="20"/>
        </w:rPr>
        <w:t>Artykuły w czasopismach wskazane przez prowadzącego ćwiczenia.</w:t>
      </w:r>
      <w:r w:rsidR="00807CF0" w:rsidRPr="00807CF0">
        <w:rPr>
          <w:rFonts w:ascii="Arial" w:hAnsi="Arial" w:cs="Arial"/>
          <w:sz w:val="20"/>
          <w:szCs w:val="20"/>
        </w:rPr>
        <w:t>.</w:t>
      </w:r>
    </w:p>
    <w:p w:rsidR="00B60DA3" w:rsidRPr="00807CF0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  <w:bookmarkStart w:id="0" w:name="_GoBack"/>
      <w:bookmarkEnd w:id="0"/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23"/>
        <w:gridCol w:w="19"/>
      </w:tblGrid>
      <w:tr w:rsidR="0038430E" w:rsidRPr="00650E93" w:rsidTr="0038430E">
        <w:trPr>
          <w:gridAfter w:val="1"/>
          <w:wAfter w:w="19" w:type="dxa"/>
          <w:trHeight w:val="629"/>
        </w:trPr>
        <w:tc>
          <w:tcPr>
            <w:tcW w:w="5637" w:type="dxa"/>
            <w:vMerge w:val="restart"/>
            <w:vAlign w:val="center"/>
          </w:tcPr>
          <w:p w:rsidR="0038430E" w:rsidRPr="003712F2" w:rsidRDefault="0038430E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2551" w:type="dxa"/>
            <w:gridSpan w:val="4"/>
            <w:vAlign w:val="center"/>
          </w:tcPr>
          <w:p w:rsidR="0038430E" w:rsidRPr="003712F2" w:rsidRDefault="0038430E" w:rsidP="0038430E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(PM</w:t>
            </w:r>
            <w:r w:rsidR="008E3C14">
              <w:rPr>
                <w:rFonts w:ascii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38430E" w:rsidRPr="00650E93" w:rsidTr="00152C9D">
        <w:trPr>
          <w:trHeight w:val="423"/>
        </w:trPr>
        <w:tc>
          <w:tcPr>
            <w:tcW w:w="5637" w:type="dxa"/>
            <w:vMerge/>
          </w:tcPr>
          <w:p w:rsidR="0038430E" w:rsidRPr="003712F2" w:rsidRDefault="0038430E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30E" w:rsidRPr="00650E93" w:rsidTr="00152C9D">
        <w:tc>
          <w:tcPr>
            <w:tcW w:w="5637" w:type="dxa"/>
            <w:vAlign w:val="center"/>
          </w:tcPr>
          <w:p w:rsidR="0038430E" w:rsidRPr="003712F2" w:rsidRDefault="0038430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8430E" w:rsidRPr="003712F2" w:rsidRDefault="0038430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152C9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215B0D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152C9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152C9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10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2D" w:rsidRDefault="0028422D" w:rsidP="00706156">
      <w:pPr>
        <w:spacing w:after="0" w:line="240" w:lineRule="auto"/>
      </w:pPr>
      <w:r>
        <w:separator/>
      </w:r>
    </w:p>
  </w:endnote>
  <w:endnote w:type="continuationSeparator" w:id="0">
    <w:p w:rsidR="0028422D" w:rsidRDefault="0028422D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944E04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2D" w:rsidRDefault="0028422D" w:rsidP="00706156">
      <w:pPr>
        <w:spacing w:after="0" w:line="240" w:lineRule="auto"/>
      </w:pPr>
      <w:r>
        <w:separator/>
      </w:r>
    </w:p>
  </w:footnote>
  <w:footnote w:type="continuationSeparator" w:id="0">
    <w:p w:rsidR="0028422D" w:rsidRDefault="0028422D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2C9D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B0D"/>
    <w:rsid w:val="00227D66"/>
    <w:rsid w:val="00243AF6"/>
    <w:rsid w:val="0028422D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8430E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507F"/>
    <w:rsid w:val="00507CDD"/>
    <w:rsid w:val="00532155"/>
    <w:rsid w:val="0053727F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4BB"/>
    <w:rsid w:val="00722B89"/>
    <w:rsid w:val="007544F8"/>
    <w:rsid w:val="0076027F"/>
    <w:rsid w:val="007709DC"/>
    <w:rsid w:val="007A0729"/>
    <w:rsid w:val="007A77C3"/>
    <w:rsid w:val="007C2483"/>
    <w:rsid w:val="007C4B90"/>
    <w:rsid w:val="00807CF0"/>
    <w:rsid w:val="008303DD"/>
    <w:rsid w:val="008D5DA7"/>
    <w:rsid w:val="008E3C14"/>
    <w:rsid w:val="00904ADC"/>
    <w:rsid w:val="00944E04"/>
    <w:rsid w:val="0095377B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1620"/>
    <w:rsid w:val="00B5705A"/>
    <w:rsid w:val="00B60DA3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6115B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6559B"/>
    <w:rsid w:val="00EC679D"/>
    <w:rsid w:val="00EE619D"/>
    <w:rsid w:val="00EF4E4D"/>
    <w:rsid w:val="00F07992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E65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E65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lip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63A2-64FB-4B43-A132-A967C073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5</cp:revision>
  <cp:lastPrinted>2018-05-09T10:22:00Z</cp:lastPrinted>
  <dcterms:created xsi:type="dcterms:W3CDTF">2018-10-06T13:03:00Z</dcterms:created>
  <dcterms:modified xsi:type="dcterms:W3CDTF">2020-04-17T09:11:00Z</dcterms:modified>
</cp:coreProperties>
</file>