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Sztuka Ameryki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aci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skiej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>zaj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cia problemowe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de-DE"/>
        </w:rPr>
        <w:t>21-ZP-SAL-HS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- fakultatywny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- 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- 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II/III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- </w:t>
      </w:r>
      <w:r>
        <w:rPr>
          <w:rFonts w:ascii="Arial" w:hAnsi="Arial"/>
          <w:sz w:val="20"/>
          <w:szCs w:val="20"/>
          <w:rtl w:val="0"/>
        </w:rPr>
        <w:t>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</w:t>
      </w:r>
      <w:r>
        <w:rPr>
          <w:rFonts w:ascii="Arial" w:hAnsi="Arial"/>
          <w:sz w:val="20"/>
          <w:szCs w:val="20"/>
          <w:rtl w:val="0"/>
          <w:lang w:val="en-US"/>
        </w:rPr>
        <w:t xml:space="preserve">30 h 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adowcy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Dorota Moli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ska, doktor, d.molin@amu.edu.pl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/ przedmiotu prowadzony zdalnie (e-learning)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nie </w:t>
      </w:r>
    </w:p>
    <w:p>
      <w:pPr>
        <w:pStyle w:val="List Paragraph"/>
        <w:spacing w:before="120" w:after="120" w:line="240" w:lineRule="auto"/>
        <w:ind w:left="0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Celem zaj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jest pog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łę</w:t>
      </w:r>
      <w:r>
        <w:rPr>
          <w:rFonts w:ascii="Arial" w:hAnsi="Arial"/>
          <w:b w:val="1"/>
          <w:bCs w:val="1"/>
          <w:sz w:val="20"/>
          <w:szCs w:val="20"/>
          <w:rtl w:val="0"/>
        </w:rPr>
        <w:t>bienie wiedzy 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uchaczy </w:t>
      </w:r>
      <w:r>
        <w:rPr>
          <w:rFonts w:ascii="Arial" w:hAnsi="Arial"/>
          <w:b w:val="1"/>
          <w:bCs w:val="1"/>
          <w:sz w:val="20"/>
          <w:szCs w:val="20"/>
          <w:rtl w:val="0"/>
        </w:rPr>
        <w:t>na temat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dziej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w sztuki na obszarze Ameryki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aci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>skiej od czas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 pre-kolonizacyjnych po pocz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tki XX wieku.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2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zna zarys periodyzacji i topografii sztuki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 i rozumie jego specyfik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kontek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cie odmienno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od dziej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sztuki europocentrycznej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Hiszt_W07, Hiszt_W09 Hiszt_W013, Hiszt_U01, </w:t>
            </w:r>
          </w:p>
        </w:tc>
      </w:tr>
      <w:tr>
        <w:tblPrEx>
          <w:shd w:val="clear" w:color="auto" w:fill="ced7e7"/>
        </w:tblPrEx>
        <w:trPr>
          <w:trHeight w:val="121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niejsze zjawiska artystyczne z obszaru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rodkowej i Po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udniowej  z okresu sprzed kolonizacji europejskiej oraz rozumie ich kontekst historyczno-kulturowy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Hiszt_W01, Hiszt_W04, Hiszt_W07, Hiszt_W09, Hiszt_W11, Hiszt_U01,</w:t>
            </w:r>
          </w:p>
        </w:tc>
      </w:tr>
      <w:tr>
        <w:tblPrEx>
          <w:shd w:val="clear" w:color="auto" w:fill="ced7e7"/>
        </w:tblPrEx>
        <w:trPr>
          <w:trHeight w:val="121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niejsze zjawiska artystyczne z obszaru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rodkowej i Po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udniowej  z okresu kolonizacji europejskiej (XVI-XVIII w.) oraz rozumie ich kontekst historyczno-kulturowy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Hiszt_W01, Hiszt_W04, Hiszt_W07, Hiszt_W09, Hiszt_W11, Hiszt_U01,</w:t>
            </w:r>
          </w:p>
        </w:tc>
      </w:tr>
      <w:tr>
        <w:tblPrEx>
          <w:shd w:val="clear" w:color="auto" w:fill="ced7e7"/>
        </w:tblPrEx>
        <w:trPr>
          <w:trHeight w:val="111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zidentyfikowa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zinterpretowa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niejsze 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 sztuki, nurty i artyst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zanych z dziejami sztuki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skiej w XIX i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pocz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XX wieku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Hiszt_W06, Hiszt_W07, Hiszt_W09, Hiszt_W011,  Hiszt_U01,</w:t>
            </w:r>
          </w:p>
        </w:tc>
      </w:tr>
      <w:tr>
        <w:tblPrEx>
          <w:shd w:val="clear" w:color="auto" w:fill="ced7e7"/>
        </w:tblPrEx>
        <w:trPr>
          <w:trHeight w:val="1045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5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rPr>
                <w:shd w:val="nil" w:color="auto" w:fill="auto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i poprawnie stosuje terminologi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dla opisu sztuki tego obszaru kulturowego</w:t>
            </w:r>
            <w:r>
              <w:rPr>
                <w:shd w:val="nil" w:color="auto" w:fill="auto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Hiszt_W02, Hiszt_U05,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189" w:hanging="189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2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Topografia i periodyzacja sztuki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SAL_01, SAL_02, SAL_03</w:t>
            </w:r>
          </w:p>
        </w:tc>
      </w:tr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wne zagadnienia z dziej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sztuki pre-kolumbijskiej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SAL_01, SAL_02, SAL_05</w:t>
            </w:r>
          </w:p>
        </w:tc>
      </w:tr>
      <w:tr>
        <w:tblPrEx>
          <w:shd w:val="clear" w:color="auto" w:fill="ced7e7"/>
        </w:tblPrEx>
        <w:trPr>
          <w:trHeight w:val="111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Architektura i malarstwo XVI-XVII w. - tradycja i zmiana w formach budownictwa i ikonografii powstaj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ce w wyniku kontaktu ludno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rdzennej z europejskimi kolonizatorami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SAL_01, SAL_03, SAL_05</w:t>
            </w:r>
          </w:p>
        </w:tc>
      </w:tr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Architektura i urbanistyka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Nowego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wiata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“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SAL_01, SAL_03, SAL_05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Sztuka kolonialnej Brazylii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SAL_01, SAL_03, SAL_05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Malarstwo kastowe - analiza gatunku i jego post-kolonialne interpretacje</w:t>
            </w:r>
            <w:r>
              <w:rPr>
                <w:shd w:val="nil" w:color="auto" w:fill="auto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SAL_01, SAL_03, SAL_05</w:t>
            </w:r>
          </w:p>
        </w:tc>
      </w:tr>
      <w:tr>
        <w:tblPrEx>
          <w:shd w:val="clear" w:color="auto" w:fill="ced7e7"/>
        </w:tblPrEx>
        <w:trPr>
          <w:trHeight w:val="111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Sztuka jako narz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 kszta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towania narodowej to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samo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w okresie postniepodleg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ciowym (1) -  Akademizm i Modernizm w malarstwie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SAL_01, SAL_04, SAL_05</w:t>
            </w:r>
          </w:p>
        </w:tc>
      </w:tr>
      <w:tr>
        <w:tblPrEx>
          <w:shd w:val="clear" w:color="auto" w:fill="ced7e7"/>
        </w:tblPrEx>
        <w:trPr>
          <w:trHeight w:val="111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Sztuka jako narz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 kszta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towania narodowej to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samo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w okresie postniepodleg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ciowym (2) - Malarstwo meksyka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skich muralist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i tw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rczo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Fridy Kahlo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SAL_01, SAL_04, SAL_05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152" w:hanging="152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 w:val="1"/>
          <w:iCs w:val="1"/>
          <w:shd w:val="clear" w:color="auto" w:fill="ffffff"/>
        </w:rPr>
      </w:pPr>
      <w:r>
        <w:rPr>
          <w:shd w:val="clear" w:color="auto" w:fill="ffffff"/>
          <w:rtl w:val="0"/>
        </w:rPr>
        <w:t>D.</w:t>
      </w:r>
      <w:r>
        <w:rPr>
          <w:shd w:val="clear" w:color="auto" w:fill="ffffff"/>
          <w:rtl w:val="0"/>
          <w:lang w:val="it-IT"/>
        </w:rPr>
        <w:t xml:space="preserve"> Ades, G</w:t>
      </w:r>
      <w:r>
        <w:rPr>
          <w:shd w:val="clear" w:color="auto" w:fill="ffffff"/>
          <w:rtl w:val="0"/>
        </w:rPr>
        <w:t xml:space="preserve">. Brett, </w:t>
      </w:r>
      <w:r>
        <w:rPr>
          <w:i w:val="1"/>
          <w:iCs w:val="1"/>
          <w:shd w:val="clear" w:color="auto" w:fill="ffffff"/>
          <w:rtl w:val="0"/>
          <w:lang w:val="en-US"/>
        </w:rPr>
        <w:t>Art in Latin America: The Modern Era, 1820-1980,</w:t>
      </w:r>
      <w:r>
        <w:rPr>
          <w:i w:val="1"/>
          <w:iCs w:val="1"/>
          <w:shd w:val="clear" w:color="auto" w:fill="ffffff"/>
          <w:rtl w:val="0"/>
        </w:rPr>
        <w:t xml:space="preserve"> </w:t>
      </w:r>
      <w:r>
        <w:rPr>
          <w:i w:val="1"/>
          <w:iCs w:val="1"/>
          <w:shd w:val="clear" w:color="auto" w:fill="ffffff"/>
          <w:rtl w:val="0"/>
          <w:lang w:val="en-US"/>
        </w:rPr>
        <w:t>Yale University Press, 1989.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D. </w:t>
      </w:r>
      <w:r>
        <w:rPr>
          <w:shd w:val="clear" w:color="auto" w:fill="ffffff"/>
          <w:rtl w:val="0"/>
          <w:lang w:val="it-IT"/>
        </w:rPr>
        <w:t>Ades</w:t>
      </w:r>
      <w:r>
        <w:rPr>
          <w:shd w:val="clear" w:color="auto" w:fill="ffffff"/>
          <w:rtl w:val="0"/>
        </w:rPr>
        <w:t>,</w:t>
      </w:r>
      <w:r>
        <w:rPr>
          <w:i w:val="1"/>
          <w:iCs w:val="1"/>
          <w:shd w:val="clear" w:color="auto" w:fill="ffffff"/>
          <w:rtl w:val="0"/>
        </w:rPr>
        <w:t xml:space="preserve"> Constr</w:t>
      </w:r>
      <w:r>
        <w:rPr>
          <w:i w:val="1"/>
          <w:iCs w:val="1"/>
          <w:shd w:val="clear" w:color="auto" w:fill="ffffff"/>
          <w:rtl w:val="0"/>
          <w:lang w:val="en-US"/>
        </w:rPr>
        <w:t>ucting Histories of Latin American Art</w:t>
      </w:r>
      <w:r>
        <w:rPr>
          <w:i w:val="1"/>
          <w:iCs w:val="1"/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en-US"/>
        </w:rPr>
        <w:t xml:space="preserve">[w:] </w:t>
      </w: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  <w:lang w:val="en-US"/>
        </w:rPr>
        <w:t xml:space="preserve">The two art histories: the </w:t>
      </w:r>
      <w:r>
        <w:rPr>
          <w:shd w:val="clear" w:color="auto" w:fill="ffffff"/>
          <w:rtl w:val="0"/>
        </w:rPr>
        <w:t>M</w:t>
      </w:r>
      <w:r>
        <w:rPr>
          <w:shd w:val="clear" w:color="auto" w:fill="ffffff"/>
          <w:rtl w:val="0"/>
          <w:lang w:val="en-US"/>
        </w:rPr>
        <w:t xml:space="preserve">useum and the </w:t>
      </w:r>
      <w:r>
        <w:rPr>
          <w:shd w:val="clear" w:color="auto" w:fill="ffffff"/>
          <w:rtl w:val="0"/>
        </w:rPr>
        <w:t>U</w:t>
      </w:r>
      <w:r>
        <w:rPr>
          <w:shd w:val="clear" w:color="auto" w:fill="ffffff"/>
          <w:rtl w:val="0"/>
          <w:lang w:val="en-US"/>
        </w:rPr>
        <w:t>niversity</w:t>
      </w:r>
      <w:r>
        <w:rPr>
          <w:shd w:val="clear" w:color="auto" w:fill="ffffff"/>
          <w:rtl w:val="1"/>
          <w:lang w:val="ar-SA" w:bidi="ar-SA"/>
        </w:rPr>
        <w:t>“</w:t>
      </w:r>
      <w:r>
        <w:rPr>
          <w:shd w:val="clear" w:color="auto" w:fill="ffffff"/>
          <w:rtl w:val="0"/>
        </w:rPr>
        <w:t>, C. W. Haxthausen (red.), Yale University Press, 2003, s. 32-45.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s-ES_tradnl"/>
        </w:rPr>
        <w:t>L. E. Alcal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  <w:lang w:val="en-US"/>
        </w:rPr>
        <w:t xml:space="preserve">, J. Brown, </w:t>
      </w:r>
      <w:r>
        <w:rPr>
          <w:i w:val="1"/>
          <w:iCs w:val="1"/>
          <w:shd w:val="clear" w:color="auto" w:fill="ffffff"/>
          <w:rtl w:val="0"/>
          <w:lang w:val="en-US"/>
        </w:rPr>
        <w:t>Painting in Latin America: 1550-1820</w:t>
      </w:r>
      <w:r>
        <w:rPr>
          <w:shd w:val="clear" w:color="auto" w:fill="ffffff"/>
          <w:rtl w:val="0"/>
          <w:lang w:val="en-US"/>
        </w:rPr>
        <w:t xml:space="preserve">, Yale University Press, 2014.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A. Andrzejewska, </w:t>
      </w:r>
      <w:r>
        <w:rPr>
          <w:i w:val="1"/>
          <w:iCs w:val="1"/>
          <w:shd w:val="clear" w:color="auto" w:fill="ffffff"/>
          <w:rtl w:val="0"/>
        </w:rPr>
        <w:t>Motywy pochodzenia europejskiego jako jeden z aspekto</w:t>
      </w:r>
      <w:r>
        <w:rPr>
          <w:i w:val="1"/>
          <w:iCs w:val="1"/>
          <w:shd w:val="clear" w:color="auto" w:fill="ffffff"/>
          <w:rtl w:val="0"/>
        </w:rPr>
        <w:t>́</w:t>
      </w:r>
      <w:r>
        <w:rPr>
          <w:i w:val="1"/>
          <w:iCs w:val="1"/>
          <w:shd w:val="clear" w:color="auto" w:fill="ffffff"/>
          <w:rtl w:val="0"/>
        </w:rPr>
        <w:t>w badan</w:t>
      </w:r>
      <w:r>
        <w:rPr>
          <w:i w:val="1"/>
          <w:iCs w:val="1"/>
          <w:shd w:val="clear" w:color="auto" w:fill="ffffff"/>
          <w:rtl w:val="0"/>
        </w:rPr>
        <w:t xml:space="preserve">́ </w:t>
      </w:r>
      <w:r>
        <w:rPr>
          <w:i w:val="1"/>
          <w:iCs w:val="1"/>
          <w:shd w:val="clear" w:color="auto" w:fill="ffffff"/>
          <w:rtl w:val="0"/>
        </w:rPr>
        <w:t>nad stylistyka</w:t>
      </w:r>
      <w:r>
        <w:rPr>
          <w:i w:val="1"/>
          <w:iCs w:val="1"/>
          <w:shd w:val="clear" w:color="auto" w:fill="ffffff"/>
          <w:rtl w:val="0"/>
        </w:rPr>
        <w:t xml:space="preserve">̨ </w:t>
      </w:r>
      <w:r>
        <w:rPr>
          <w:i w:val="1"/>
          <w:iCs w:val="1"/>
          <w:shd w:val="clear" w:color="auto" w:fill="ffffff"/>
          <w:rtl w:val="0"/>
        </w:rPr>
        <w:t>mestizo w barokowej architekturze Wicekro</w:t>
      </w:r>
      <w:r>
        <w:rPr>
          <w:i w:val="1"/>
          <w:iCs w:val="1"/>
          <w:shd w:val="clear" w:color="auto" w:fill="ffffff"/>
          <w:rtl w:val="0"/>
        </w:rPr>
        <w:t>́</w:t>
      </w:r>
      <w:r>
        <w:rPr>
          <w:i w:val="1"/>
          <w:iCs w:val="1"/>
          <w:shd w:val="clear" w:color="auto" w:fill="ffffff"/>
          <w:rtl w:val="0"/>
        </w:rPr>
        <w:t xml:space="preserve">lestwa Peru, </w:t>
      </w:r>
      <w:r>
        <w:rPr>
          <w:i w:val="1"/>
          <w:iCs w:val="1"/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 xml:space="preserve">Sztuka Ameryki 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  <w:lang w:val="pt-PT"/>
        </w:rPr>
        <w:t>acin</w:t>
      </w:r>
      <w:r>
        <w:rPr>
          <w:shd w:val="clear" w:color="auto" w:fill="ffffff"/>
          <w:rtl w:val="0"/>
        </w:rPr>
        <w:t>́</w:t>
      </w:r>
      <w:r>
        <w:rPr>
          <w:shd w:val="clear" w:color="auto" w:fill="ffffff"/>
          <w:rtl w:val="0"/>
        </w:rPr>
        <w:t>skiej</w:t>
      </w:r>
      <w:r>
        <w:rPr>
          <w:shd w:val="clear" w:color="auto" w:fill="ffffff"/>
          <w:rtl w:val="1"/>
          <w:lang w:val="ar-SA" w:bidi="ar-SA"/>
        </w:rPr>
        <w:t>“</w:t>
      </w:r>
      <w:r>
        <w:rPr>
          <w:shd w:val="clear" w:color="auto" w:fill="ffffff"/>
          <w:rtl w:val="0"/>
        </w:rPr>
        <w:t>, nr 1/2011, s. 259-278.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i w:val="1"/>
          <w:iCs w:val="1"/>
          <w:shd w:val="clear" w:color="auto" w:fill="ffffff"/>
          <w:rtl w:val="0"/>
          <w:lang w:val="en-US"/>
        </w:rPr>
        <w:t>The Arts in Latin America: 1492</w:t>
      </w:r>
      <w:r>
        <w:rPr>
          <w:i w:val="1"/>
          <w:iCs w:val="1"/>
          <w:shd w:val="clear" w:color="auto" w:fill="ffffff"/>
          <w:rtl w:val="0"/>
        </w:rPr>
        <w:t>–</w:t>
      </w:r>
      <w:r>
        <w:rPr>
          <w:i w:val="1"/>
          <w:iCs w:val="1"/>
          <w:shd w:val="clear" w:color="auto" w:fill="ffffff"/>
          <w:rtl w:val="0"/>
        </w:rPr>
        <w:t>1820</w:t>
      </w:r>
      <w:r>
        <w:rPr>
          <w:shd w:val="clear" w:color="auto" w:fill="ffffff"/>
          <w:rtl w:val="0"/>
          <w:lang w:val="en-US"/>
        </w:rPr>
        <w:t>. Exhibition catalog, Philadelphia: Philadelphia Museum of Art 2006</w:t>
      </w:r>
      <w:r>
        <w:rPr>
          <w:shd w:val="clear" w:color="auto" w:fill="ffffff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G.A. Bailey, </w:t>
      </w:r>
      <w:r>
        <w:rPr>
          <w:i w:val="1"/>
          <w:iCs w:val="1"/>
          <w:shd w:val="clear" w:color="auto" w:fill="ffffff"/>
          <w:rtl w:val="0"/>
          <w:lang w:val="en-US"/>
        </w:rPr>
        <w:t>Art of colonial Latin America</w:t>
      </w:r>
      <w:r>
        <w:rPr>
          <w:shd w:val="clear" w:color="auto" w:fill="ffffff"/>
          <w:rtl w:val="0"/>
          <w:lang w:val="en-US"/>
        </w:rPr>
        <w:t>, New York</w:t>
      </w:r>
      <w:r>
        <w:rPr>
          <w:shd w:val="clear" w:color="auto" w:fill="ffffff"/>
          <w:rtl w:val="0"/>
        </w:rPr>
        <w:t>, 2005.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G. A. Bailey, </w:t>
      </w:r>
      <w:r>
        <w:rPr>
          <w:i w:val="1"/>
          <w:iCs w:val="1"/>
          <w:shd w:val="clear" w:color="auto" w:fill="ffffff"/>
          <w:rtl w:val="0"/>
          <w:lang w:val="en-US"/>
        </w:rPr>
        <w:t>The Andean Hybrid Baroque: Convergent Cultures in the Churches of Colonial Peru</w:t>
      </w:r>
      <w:r>
        <w:rPr>
          <w:shd w:val="clear" w:color="auto" w:fill="ffffff"/>
          <w:rtl w:val="0"/>
          <w:lang w:val="en-US"/>
        </w:rPr>
        <w:t>, University of Notre Dame Press, 2010.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J. Bia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 xml:space="preserve">ostocki, </w:t>
      </w:r>
      <w:r>
        <w:rPr>
          <w:i w:val="1"/>
          <w:iCs w:val="1"/>
          <w:shd w:val="clear" w:color="auto" w:fill="ffffff"/>
          <w:rtl w:val="0"/>
        </w:rPr>
        <w:t>O sztuce dawnej Ameryki. Meksyk i Peru</w:t>
      </w:r>
      <w:r>
        <w:rPr>
          <w:shd w:val="clear" w:color="auto" w:fill="ffffff"/>
          <w:rtl w:val="0"/>
        </w:rPr>
        <w:t>, Warszawa 1972.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W. Tatarkiewicz, </w:t>
      </w:r>
      <w:r>
        <w:rPr>
          <w:i w:val="1"/>
          <w:iCs w:val="1"/>
          <w:shd w:val="clear" w:color="auto" w:fill="ffffff"/>
          <w:rtl w:val="0"/>
        </w:rPr>
        <w:t>Architektura barokowa w Brazylii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 xml:space="preserve">Sztuka Ameryki 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  <w:lang w:val="es-ES_tradnl"/>
        </w:rPr>
        <w:t>aci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skiej</w:t>
      </w:r>
      <w:r>
        <w:rPr>
          <w:shd w:val="clear" w:color="auto" w:fill="ffffff"/>
          <w:rtl w:val="1"/>
          <w:lang w:val="ar-SA" w:bidi="ar-SA"/>
        </w:rPr>
        <w:t>“</w:t>
      </w:r>
      <w:r>
        <w:rPr>
          <w:shd w:val="clear" w:color="auto" w:fill="ffffff"/>
          <w:rtl w:val="0"/>
        </w:rPr>
        <w:t>, nr 1/2011, s. 17-43.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M. Coe, D. Snow, E. Benson, </w:t>
      </w:r>
      <w:r>
        <w:rPr>
          <w:i w:val="1"/>
          <w:iCs w:val="1"/>
          <w:shd w:val="clear" w:color="auto" w:fill="ffffff"/>
          <w:rtl w:val="0"/>
        </w:rPr>
        <w:t xml:space="preserve">Wielkie kultury </w:t>
      </w:r>
      <w:r>
        <w:rPr>
          <w:i w:val="1"/>
          <w:iCs w:val="1"/>
          <w:shd w:val="clear" w:color="auto" w:fill="ffffff"/>
          <w:rtl w:val="0"/>
        </w:rPr>
        <w:t>ś</w:t>
      </w:r>
      <w:r>
        <w:rPr>
          <w:i w:val="1"/>
          <w:iCs w:val="1"/>
          <w:shd w:val="clear" w:color="auto" w:fill="ffffff"/>
          <w:rtl w:val="0"/>
        </w:rPr>
        <w:t>wiata: Ameryka prekolumbijska</w:t>
      </w:r>
      <w:r>
        <w:rPr>
          <w:shd w:val="clear" w:color="auto" w:fill="ffffff"/>
          <w:rtl w:val="0"/>
        </w:rPr>
        <w:t>, Warszawa 1997.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sv-SE"/>
        </w:rPr>
        <w:t xml:space="preserve">F. J. Dockstader, </w:t>
      </w:r>
      <w:r>
        <w:rPr>
          <w:i w:val="1"/>
          <w:iCs w:val="1"/>
          <w:shd w:val="clear" w:color="auto" w:fill="ffffff"/>
          <w:rtl w:val="0"/>
        </w:rPr>
        <w:t>Sztuka Ameryki</w:t>
      </w:r>
      <w:r>
        <w:rPr>
          <w:shd w:val="clear" w:color="auto" w:fill="ffffff"/>
          <w:rtl w:val="0"/>
        </w:rPr>
        <w:t>, t. 1-3, Warszawa 1975-1977.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i w:val="1"/>
          <w:iCs w:val="1"/>
          <w:shd w:val="clear" w:color="auto" w:fill="ffffff"/>
          <w:rtl w:val="0"/>
        </w:rPr>
        <w:t>Dzieje kultury latynoamerya</w:t>
      </w:r>
      <w:r>
        <w:rPr>
          <w:i w:val="1"/>
          <w:iCs w:val="1"/>
          <w:shd w:val="clear" w:color="auto" w:fill="ffffff"/>
          <w:rtl w:val="0"/>
        </w:rPr>
        <w:t>ń</w:t>
      </w:r>
      <w:r>
        <w:rPr>
          <w:i w:val="1"/>
          <w:iCs w:val="1"/>
          <w:shd w:val="clear" w:color="auto" w:fill="ffffff"/>
          <w:rtl w:val="0"/>
        </w:rPr>
        <w:t>skiej</w:t>
      </w:r>
      <w:r>
        <w:rPr>
          <w:shd w:val="clear" w:color="auto" w:fill="ffffff"/>
          <w:rtl w:val="0"/>
        </w:rPr>
        <w:t>, Marcin Florian Gawrycki (red.), Warszawa 2009.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L. Gandhi, </w:t>
      </w:r>
      <w:r>
        <w:rPr>
          <w:i w:val="1"/>
          <w:iCs w:val="1"/>
          <w:shd w:val="clear" w:color="auto" w:fill="ffffff"/>
          <w:rtl w:val="0"/>
        </w:rPr>
        <w:t xml:space="preserve">Teoria postkolonialna, </w:t>
      </w:r>
      <w:r>
        <w:rPr>
          <w:shd w:val="clear" w:color="auto" w:fill="ffffff"/>
          <w:rtl w:val="0"/>
        </w:rPr>
        <w:t>Pozna</w:t>
      </w:r>
      <w:r>
        <w:rPr>
          <w:shd w:val="clear" w:color="auto" w:fill="ffffff"/>
          <w:rtl w:val="0"/>
        </w:rPr>
        <w:t xml:space="preserve">ń </w:t>
      </w:r>
      <w:r>
        <w:rPr>
          <w:shd w:val="clear" w:color="auto" w:fill="ffffff"/>
          <w:rtl w:val="0"/>
        </w:rPr>
        <w:t>2008.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E. Kubiak, </w:t>
      </w:r>
      <w:r>
        <w:rPr>
          <w:i w:val="1"/>
          <w:iCs w:val="1"/>
          <w:shd w:val="clear" w:color="auto" w:fill="ffffff"/>
          <w:rtl w:val="0"/>
          <w:lang w:val="de-DE"/>
        </w:rPr>
        <w:t xml:space="preserve">Juli (Peru) </w:t>
      </w:r>
      <w:r>
        <w:rPr>
          <w:i w:val="1"/>
          <w:iCs w:val="1"/>
          <w:shd w:val="clear" w:color="auto" w:fill="ffffff"/>
          <w:rtl w:val="0"/>
        </w:rPr>
        <w:t>– „</w:t>
      </w:r>
      <w:r>
        <w:rPr>
          <w:i w:val="1"/>
          <w:iCs w:val="1"/>
          <w:shd w:val="clear" w:color="auto" w:fill="ffffff"/>
          <w:rtl w:val="0"/>
        </w:rPr>
        <w:t>miasto jezuit</w:t>
      </w:r>
      <w:r>
        <w:rPr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shd w:val="clear" w:color="auto" w:fill="ffffff"/>
          <w:rtl w:val="0"/>
        </w:rPr>
        <w:t>w</w:t>
      </w:r>
      <w:r>
        <w:rPr>
          <w:i w:val="1"/>
          <w:iCs w:val="1"/>
          <w:shd w:val="clear" w:color="auto" w:fill="ffffff"/>
          <w:rtl w:val="0"/>
        </w:rPr>
        <w:t>”</w:t>
      </w:r>
      <w:r>
        <w:rPr>
          <w:i w:val="1"/>
          <w:iCs w:val="1"/>
          <w:shd w:val="clear" w:color="auto" w:fill="ffffff"/>
          <w:rtl w:val="0"/>
        </w:rPr>
        <w:t>. Charakterystyczne cechy architektury misyjnej w okresie kolonialnym</w:t>
      </w:r>
      <w:r>
        <w:rPr>
          <w:shd w:val="clear" w:color="auto" w:fill="ffffff"/>
          <w:rtl w:val="0"/>
          <w:lang w:val="en-US"/>
        </w:rPr>
        <w:t>, [w:] Mi</w:t>
      </w:r>
      <w:r>
        <w:rPr>
          <w:shd w:val="clear" w:color="auto" w:fill="ffffff"/>
          <w:rtl w:val="0"/>
        </w:rPr>
        <w:t>ę</w:t>
      </w:r>
      <w:r>
        <w:rPr>
          <w:shd w:val="clear" w:color="auto" w:fill="ffffff"/>
          <w:rtl w:val="0"/>
        </w:rPr>
        <w:t>dzy z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>otym a srebrnym wiekiem kultury hiszpa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skiej, M. Jag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>owski, D. Sepczy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ska (red.), Olsztyn 2008, s. 169-186.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E. Kubiak, </w:t>
      </w:r>
      <w:r>
        <w:rPr>
          <w:i w:val="1"/>
          <w:iCs w:val="1"/>
          <w:shd w:val="clear" w:color="auto" w:fill="ffffff"/>
          <w:rtl w:val="0"/>
        </w:rPr>
        <w:t>Ko</w:t>
      </w:r>
      <w:r>
        <w:rPr>
          <w:i w:val="1"/>
          <w:iCs w:val="1"/>
          <w:shd w:val="clear" w:color="auto" w:fill="ffffff"/>
          <w:rtl w:val="0"/>
        </w:rPr>
        <w:t>ś</w:t>
      </w:r>
      <w:r>
        <w:rPr>
          <w:i w:val="1"/>
          <w:iCs w:val="1"/>
          <w:shd w:val="clear" w:color="auto" w:fill="ffffff"/>
          <w:rtl w:val="0"/>
        </w:rPr>
        <w:t>ci</w:t>
      </w:r>
      <w:r>
        <w:rPr>
          <w:i w:val="1"/>
          <w:iCs w:val="1"/>
          <w:shd w:val="clear" w:color="auto" w:fill="ffffff"/>
          <w:rtl w:val="0"/>
        </w:rPr>
        <w:t xml:space="preserve">ół </w:t>
      </w:r>
      <w:r>
        <w:rPr>
          <w:i w:val="1"/>
          <w:iCs w:val="1"/>
          <w:shd w:val="clear" w:color="auto" w:fill="ffffff"/>
          <w:rtl w:val="0"/>
        </w:rPr>
        <w:t>jezuicki w Cusco jako model kszta</w:t>
      </w:r>
      <w:r>
        <w:rPr>
          <w:i w:val="1"/>
          <w:iCs w:val="1"/>
          <w:shd w:val="clear" w:color="auto" w:fill="ffffff"/>
          <w:rtl w:val="0"/>
        </w:rPr>
        <w:t>ł</w:t>
      </w:r>
      <w:r>
        <w:rPr>
          <w:i w:val="1"/>
          <w:iCs w:val="1"/>
          <w:shd w:val="clear" w:color="auto" w:fill="ffffff"/>
          <w:rtl w:val="0"/>
        </w:rPr>
        <w:t>tuj</w:t>
      </w:r>
      <w:r>
        <w:rPr>
          <w:i w:val="1"/>
          <w:iCs w:val="1"/>
          <w:shd w:val="clear" w:color="auto" w:fill="ffffff"/>
          <w:rtl w:val="0"/>
        </w:rPr>
        <w:t>ą</w:t>
      </w:r>
      <w:r>
        <w:rPr>
          <w:i w:val="1"/>
          <w:iCs w:val="1"/>
          <w:shd w:val="clear" w:color="auto" w:fill="ffffff"/>
          <w:rtl w:val="0"/>
        </w:rPr>
        <w:t>cy architektur</w:t>
      </w:r>
      <w:r>
        <w:rPr>
          <w:i w:val="1"/>
          <w:iCs w:val="1"/>
          <w:shd w:val="clear" w:color="auto" w:fill="ffffff"/>
          <w:rtl w:val="0"/>
        </w:rPr>
        <w:t xml:space="preserve">ę </w:t>
      </w:r>
      <w:r>
        <w:rPr>
          <w:i w:val="1"/>
          <w:iCs w:val="1"/>
          <w:shd w:val="clear" w:color="auto" w:fill="ffffff"/>
          <w:rtl w:val="0"/>
          <w:lang w:val="it-IT"/>
        </w:rPr>
        <w:t>regionu</w:t>
      </w:r>
      <w:r>
        <w:rPr>
          <w:shd w:val="clear" w:color="auto" w:fill="ffffff"/>
          <w:rtl w:val="0"/>
        </w:rPr>
        <w:t>, [w:] Studia nad sztuk</w:t>
      </w:r>
      <w:r>
        <w:rPr>
          <w:shd w:val="clear" w:color="auto" w:fill="ffffff"/>
          <w:rtl w:val="0"/>
        </w:rPr>
        <w:t xml:space="preserve">ą </w:t>
      </w:r>
      <w:r>
        <w:rPr>
          <w:shd w:val="clear" w:color="auto" w:fill="ffffff"/>
          <w:rtl w:val="0"/>
        </w:rPr>
        <w:t>renesansu i baroku, I. Rolska-Boruch (red.), t. XI, Lublin 2012, s. 101-127.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E. Kubiak, </w:t>
      </w:r>
      <w:r>
        <w:rPr>
          <w:i w:val="1"/>
          <w:iCs w:val="1"/>
          <w:shd w:val="clear" w:color="auto" w:fill="ffffff"/>
          <w:rtl w:val="0"/>
        </w:rPr>
        <w:t xml:space="preserve">Jerozolima na ziemiach Nowego </w:t>
      </w:r>
      <w:r>
        <w:rPr>
          <w:i w:val="1"/>
          <w:iCs w:val="1"/>
          <w:shd w:val="clear" w:color="auto" w:fill="ffffff"/>
          <w:rtl w:val="0"/>
        </w:rPr>
        <w:t>Ś</w:t>
      </w:r>
      <w:r>
        <w:rPr>
          <w:i w:val="1"/>
          <w:iCs w:val="1"/>
          <w:shd w:val="clear" w:color="auto" w:fill="ffffff"/>
          <w:rtl w:val="0"/>
        </w:rPr>
        <w:t xml:space="preserve">wiata </w:t>
      </w:r>
      <w:r>
        <w:rPr>
          <w:i w:val="1"/>
          <w:iCs w:val="1"/>
          <w:shd w:val="clear" w:color="auto" w:fill="ffffff"/>
          <w:rtl w:val="0"/>
        </w:rPr>
        <w:t>– ś</w:t>
      </w:r>
      <w:r>
        <w:rPr>
          <w:i w:val="1"/>
          <w:iCs w:val="1"/>
          <w:shd w:val="clear" w:color="auto" w:fill="ffffff"/>
          <w:rtl w:val="0"/>
        </w:rPr>
        <w:t>wi</w:t>
      </w:r>
      <w:r>
        <w:rPr>
          <w:i w:val="1"/>
          <w:iCs w:val="1"/>
          <w:shd w:val="clear" w:color="auto" w:fill="ffffff"/>
          <w:rtl w:val="0"/>
        </w:rPr>
        <w:t>ę</w:t>
      </w:r>
      <w:r>
        <w:rPr>
          <w:i w:val="1"/>
          <w:iCs w:val="1"/>
          <w:shd w:val="clear" w:color="auto" w:fill="ffffff"/>
          <w:rtl w:val="0"/>
        </w:rPr>
        <w:t>te miasto w sztuce Wicekr</w:t>
      </w:r>
      <w:r>
        <w:rPr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shd w:val="clear" w:color="auto" w:fill="ffffff"/>
          <w:rtl w:val="0"/>
        </w:rPr>
        <w:t>lestwa Peru</w:t>
      </w:r>
      <w:r>
        <w:rPr>
          <w:shd w:val="clear" w:color="auto" w:fill="ffffff"/>
          <w:rtl w:val="0"/>
        </w:rPr>
        <w:t>, [w:] Architektura znacze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. Studia ofiarowane profesorowi Z. Bani, red. A. S. Czy</w:t>
      </w:r>
      <w:r>
        <w:rPr>
          <w:shd w:val="clear" w:color="auto" w:fill="ffffff"/>
          <w:rtl w:val="0"/>
        </w:rPr>
        <w:t>ż</w:t>
      </w:r>
      <w:r>
        <w:rPr>
          <w:shd w:val="clear" w:color="auto" w:fill="ffffff"/>
          <w:rtl w:val="0"/>
        </w:rPr>
        <w:t>, J. Nowi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ski, Warszawa 2011, 90-101.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s-ES_tradnl"/>
        </w:rPr>
        <w:t xml:space="preserve">G. Kubler, M. Soria, </w:t>
      </w:r>
      <w:r>
        <w:rPr>
          <w:i w:val="1"/>
          <w:iCs w:val="1"/>
          <w:shd w:val="clear" w:color="auto" w:fill="ffffff"/>
          <w:rtl w:val="0"/>
          <w:lang w:val="en-US"/>
        </w:rPr>
        <w:t>Art and Architecture in Spain and Portugal and their American Dominions: 1500 to 1800</w:t>
      </w:r>
      <w:r>
        <w:rPr>
          <w:shd w:val="clear" w:color="auto" w:fill="ffffff"/>
          <w:rtl w:val="0"/>
          <w:lang w:val="fr-FR"/>
        </w:rPr>
        <w:t xml:space="preserve">, Harmond- </w:t>
      </w:r>
      <w:r>
        <w:rPr>
          <w:shd w:val="clear" w:color="auto" w:fill="ffffff"/>
          <w:rtl w:val="0"/>
        </w:rPr>
        <w:t>S</w:t>
      </w:r>
      <w:r>
        <w:rPr>
          <w:shd w:val="clear" w:color="auto" w:fill="ffffff"/>
          <w:rtl w:val="0"/>
          <w:lang w:val="en-US"/>
        </w:rPr>
        <w:t>worth 1959.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J. Olko, J. </w:t>
      </w:r>
      <w:r>
        <w:rPr>
          <w:shd w:val="clear" w:color="auto" w:fill="ffffff"/>
          <w:rtl w:val="0"/>
        </w:rPr>
        <w:t>Ź</w:t>
      </w:r>
      <w:r>
        <w:rPr>
          <w:shd w:val="clear" w:color="auto" w:fill="ffffff"/>
          <w:rtl w:val="0"/>
        </w:rPr>
        <w:t>ra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 xml:space="preserve">ka, </w:t>
      </w:r>
      <w:r>
        <w:rPr>
          <w:i w:val="1"/>
          <w:iCs w:val="1"/>
          <w:shd w:val="clear" w:color="auto" w:fill="ffffff"/>
          <w:rtl w:val="0"/>
        </w:rPr>
        <w:t>W krainie czerni i czerwieni. Kultury prekolumbijskiej Ameryki</w:t>
      </w:r>
      <w:r>
        <w:rPr>
          <w:shd w:val="clear" w:color="auto" w:fill="ffffff"/>
          <w:rtl w:val="0"/>
        </w:rPr>
        <w:t>, Warszawa 2008.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K. Piekarz, </w:t>
      </w:r>
      <w:r>
        <w:rPr>
          <w:i w:val="1"/>
          <w:iCs w:val="1"/>
          <w:shd w:val="clear" w:color="auto" w:fill="ffffff"/>
          <w:rtl w:val="0"/>
        </w:rPr>
        <w:t>Rozw</w:t>
      </w:r>
      <w:r>
        <w:rPr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shd w:val="clear" w:color="auto" w:fill="ffffff"/>
          <w:rtl w:val="0"/>
        </w:rPr>
        <w:t>j architektury kolonialnej na przyk</w:t>
      </w:r>
      <w:r>
        <w:rPr>
          <w:i w:val="1"/>
          <w:iCs w:val="1"/>
          <w:shd w:val="clear" w:color="auto" w:fill="ffffff"/>
          <w:rtl w:val="0"/>
        </w:rPr>
        <w:t>ł</w:t>
      </w:r>
      <w:r>
        <w:rPr>
          <w:i w:val="1"/>
          <w:iCs w:val="1"/>
          <w:shd w:val="clear" w:color="auto" w:fill="ffffff"/>
          <w:rtl w:val="0"/>
        </w:rPr>
        <w:t>adzie historii katedry w Limie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 xml:space="preserve">Ameryka 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  <w:lang w:val="es-ES_tradnl"/>
        </w:rPr>
        <w:t>aci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ska</w:t>
      </w:r>
      <w:r>
        <w:rPr>
          <w:shd w:val="clear" w:color="auto" w:fill="ffffff"/>
          <w:rtl w:val="0"/>
        </w:rPr>
        <w:t xml:space="preserve">” </w:t>
      </w:r>
      <w:r>
        <w:rPr>
          <w:shd w:val="clear" w:color="auto" w:fill="ffffff"/>
          <w:rtl w:val="0"/>
        </w:rPr>
        <w:t>1(79), 2013, s. 23-42.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R. C. Smith, </w:t>
      </w:r>
      <w:r>
        <w:rPr>
          <w:i w:val="1"/>
          <w:iCs w:val="1"/>
          <w:rtl w:val="0"/>
          <w:lang w:val="en-US"/>
        </w:rPr>
        <w:t>Colonial Towns of Spanish and Portuguese America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„</w:t>
      </w:r>
      <w:r>
        <w:rPr>
          <w:rtl w:val="0"/>
          <w:lang w:val="en-US"/>
        </w:rPr>
        <w:t>Journal of the Society of Architectural Historians</w:t>
      </w:r>
      <w:r>
        <w:rPr>
          <w:rtl w:val="1"/>
          <w:lang w:val="ar-SA" w:bidi="ar-SA"/>
        </w:rPr>
        <w:t>“</w:t>
      </w:r>
      <w:r>
        <w:rPr>
          <w:rtl w:val="0"/>
        </w:rPr>
        <w:t>, v</w:t>
      </w:r>
      <w:r>
        <w:rPr>
          <w:rtl w:val="0"/>
          <w:lang w:val="pt-PT"/>
        </w:rPr>
        <w:t xml:space="preserve">ol. 14, </w:t>
      </w:r>
      <w:r>
        <w:rPr>
          <w:rtl w:val="0"/>
        </w:rPr>
        <w:t>nr</w:t>
      </w:r>
      <w:r>
        <w:rPr>
          <w:rtl w:val="0"/>
          <w:lang w:val="de-DE"/>
        </w:rPr>
        <w:t xml:space="preserve"> 4, 1955, </w:t>
      </w:r>
      <w:r>
        <w:rPr>
          <w:rtl w:val="0"/>
          <w:lang w:val="pt-PT"/>
        </w:rPr>
        <w:t>s. 3-12.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M. Trusted, </w:t>
      </w:r>
      <w:r>
        <w:rPr>
          <w:i w:val="1"/>
          <w:iCs w:val="1"/>
          <w:shd w:val="clear" w:color="auto" w:fill="ffffff"/>
          <w:rtl w:val="0"/>
          <w:lang w:val="en-US"/>
        </w:rPr>
        <w:t>The arts of Spain: Iberia and Latin America 1450-1700</w:t>
      </w:r>
      <w:r>
        <w:rPr>
          <w:shd w:val="clear" w:color="auto" w:fill="ffffff"/>
          <w:rtl w:val="0"/>
          <w:lang w:val="en-US"/>
        </w:rPr>
        <w:t>, New York 2007.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List Paragraph"/>
        <w:spacing w:after="0" w:line="240" w:lineRule="auto"/>
        <w:ind w:left="993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wszystkie pozycje zalecane do przeczytania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 zbiorach Biblioteki Wydzia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u Historycznego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Sekcja Historii Sztuki UAM lub udost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pnione zostan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przez 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ą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3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75"/>
        <w:gridCol w:w="669"/>
        <w:gridCol w:w="828"/>
        <w:gridCol w:w="735"/>
        <w:gridCol w:w="675"/>
        <w:gridCol w:w="724"/>
      </w:tblGrid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5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6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</w:t>
            </w:r>
          </w:p>
          <w:p>
            <w:pPr>
              <w:pStyle w:val="Normal.0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01</w:t>
            </w:r>
          </w:p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02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03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04</w:t>
            </w:r>
          </w:p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</w:rPr>
      <w:fldChar w:fldCharType="begin" w:fldLock="0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 w:fldLock="0"/>
    </w:r>
    <w:r>
      <w:rPr>
        <w:rFonts w:ascii="Arial" w:hAnsi="Arial"/>
        <w:sz w:val="16"/>
        <w:szCs w:val="16"/>
      </w:rPr>
    </w:r>
    <w:r>
      <w:rPr>
        <w:rFonts w:ascii="Arial" w:hAnsi="Arial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35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0"/>
    <w:lvlOverride w:ilvl="0">
      <w:startOverride w:val="3"/>
    </w:lvlOverride>
  </w:num>
  <w:num w:numId="12">
    <w:abstractNumId w:val="7"/>
  </w:num>
  <w:num w:numId="13">
    <w:abstractNumId w:val="6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