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pPr>
      <w:r>
        <w:rPr>
          <w:rtl w:val="0"/>
          <w:lang w:val="en-US"/>
        </w:rPr>
        <w:t>LEARNING MODULE DESCRIPTION</w:t>
      </w:r>
    </w:p>
    <w:p>
      <w:pPr>
        <w:pStyle w:val="Normal.0"/>
        <w:shd w:val="clear" w:color="auto" w:fill="ffffff"/>
        <w:spacing w:after="0" w:line="240" w:lineRule="auto"/>
        <w:rPr>
          <w:rFonts w:ascii="Verdana" w:cs="Verdana" w:hAnsi="Verdana" w:eastAsia="Verdana"/>
          <w:b w:val="1"/>
          <w:bCs w:val="1"/>
          <w:sz w:val="17"/>
          <w:szCs w:val="17"/>
        </w:rPr>
      </w:pPr>
    </w:p>
    <w:p>
      <w:pPr>
        <w:pStyle w:val="Normal.0"/>
        <w:shd w:val="clear" w:color="auto" w:fill="ffffff"/>
        <w:spacing w:after="0" w:line="240" w:lineRule="auto"/>
        <w:rPr>
          <w:rFonts w:ascii="Verdana" w:cs="Verdana" w:hAnsi="Verdana" w:eastAsia="Verdana"/>
          <w:sz w:val="17"/>
          <w:szCs w:val="17"/>
        </w:rPr>
      </w:pPr>
      <w:r>
        <w:rPr>
          <w:rFonts w:ascii="Verdana" w:hAnsi="Verdana"/>
          <w:b w:val="1"/>
          <w:bCs w:val="1"/>
          <w:sz w:val="17"/>
          <w:szCs w:val="17"/>
          <w:rtl w:val="0"/>
          <w:lang w:val="en-US"/>
        </w:rPr>
        <w:t>GENERAL INFORMATION</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Module title: Art And Architecture In Early Modern Central Europe (1450-1800)</w:t>
      </w:r>
    </w:p>
    <w:p>
      <w:pPr>
        <w:pStyle w:val="List Paragraph"/>
        <w:numPr>
          <w:ilvl w:val="0"/>
          <w:numId w:val="3"/>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Module code:</w:t>
        <w:tab/>
        <w:t>21-AAE-SZ-AMU-PIE</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Term:</w:t>
        <w:tab/>
        <w:t>Winter</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Duration:</w:t>
        <w:tab/>
        <w:t>30h</w:t>
        <w:tab/>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ECTS:</w:t>
        <w:tab/>
        <w:tab/>
        <w:t>6</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 xml:space="preserve">Module lecturer: </w:t>
        <w:tab/>
        <w:t xml:space="preserve">dr </w:t>
      </w:r>
      <w:r>
        <w:rPr>
          <w:rFonts w:ascii="Verdana" w:hAnsi="Verdana"/>
          <w:sz w:val="17"/>
          <w:szCs w:val="17"/>
          <w:rtl w:val="0"/>
        </w:rPr>
        <w:t>Dorota Moli</w:t>
      </w:r>
      <w:r>
        <w:rPr>
          <w:rFonts w:ascii="Verdana" w:hAnsi="Verdana" w:hint="default"/>
          <w:sz w:val="17"/>
          <w:szCs w:val="17"/>
          <w:rtl w:val="0"/>
        </w:rPr>
        <w:t>ń</w:t>
      </w:r>
      <w:r>
        <w:rPr>
          <w:rFonts w:ascii="Verdana" w:hAnsi="Verdana"/>
          <w:sz w:val="17"/>
          <w:szCs w:val="17"/>
          <w:rtl w:val="0"/>
        </w:rPr>
        <w:t>ska</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 xml:space="preserve">E-mail: </w:t>
      </w:r>
      <w:r>
        <w:rPr>
          <w:rFonts w:ascii="Verdana" w:hAnsi="Verdana"/>
          <w:sz w:val="17"/>
          <w:szCs w:val="17"/>
          <w:rtl w:val="0"/>
        </w:rPr>
        <w:t>d.molin</w:t>
      </w:r>
      <w:r>
        <w:rPr>
          <w:rFonts w:ascii="Verdana" w:hAnsi="Verdana"/>
          <w:sz w:val="17"/>
          <w:szCs w:val="17"/>
          <w:rtl w:val="0"/>
          <w:lang w:val="en-US"/>
        </w:rPr>
        <w:t>@amu.edu.pl</w:t>
      </w:r>
    </w:p>
    <w:p>
      <w:pPr>
        <w:pStyle w:val="Normal.0"/>
        <w:numPr>
          <w:ilvl w:val="0"/>
          <w:numId w:val="2"/>
        </w:numPr>
        <w:shd w:val="clear" w:color="auto" w:fill="ffffff"/>
        <w:bidi w:val="0"/>
        <w:spacing w:after="0" w:line="240" w:lineRule="auto"/>
        <w:ind w:right="0"/>
        <w:jc w:val="left"/>
        <w:rPr>
          <w:rFonts w:ascii="Verdana" w:hAnsi="Verdana"/>
          <w:sz w:val="17"/>
          <w:szCs w:val="17"/>
          <w:rtl w:val="0"/>
          <w:lang w:val="en-US"/>
        </w:rPr>
      </w:pPr>
      <w:r>
        <w:rPr>
          <w:rFonts w:ascii="Verdana" w:hAnsi="Verdana"/>
          <w:sz w:val="17"/>
          <w:szCs w:val="17"/>
          <w:rtl w:val="0"/>
          <w:lang w:val="en-US"/>
        </w:rPr>
        <w:t>Language:</w:t>
        <w:tab/>
        <w:tab/>
        <w:t>English</w:t>
      </w:r>
    </w:p>
    <w:p>
      <w:pPr>
        <w:pStyle w:val="Normal.0"/>
        <w:shd w:val="clear" w:color="auto" w:fill="ffffff"/>
        <w:spacing w:after="0" w:line="240" w:lineRule="auto"/>
        <w:ind w:left="450" w:firstLine="0"/>
        <w:rPr>
          <w:rFonts w:ascii="Verdana" w:cs="Verdana" w:hAnsi="Verdana" w:eastAsia="Verdana"/>
          <w:sz w:val="17"/>
          <w:szCs w:val="17"/>
        </w:rPr>
      </w:pPr>
    </w:p>
    <w:p>
      <w:pPr>
        <w:pStyle w:val="Normal.0"/>
        <w:shd w:val="clear" w:color="auto" w:fill="ffffff"/>
        <w:spacing w:after="0" w:line="240" w:lineRule="auto"/>
        <w:rPr>
          <w:rFonts w:ascii="Verdana" w:cs="Verdana" w:hAnsi="Verdana" w:eastAsia="Verdana"/>
          <w:sz w:val="17"/>
          <w:szCs w:val="17"/>
        </w:rPr>
      </w:pPr>
      <w:r>
        <w:rPr>
          <w:rFonts w:ascii="Verdana" w:hAnsi="Verdana"/>
          <w:b w:val="1"/>
          <w:bCs w:val="1"/>
          <w:sz w:val="17"/>
          <w:szCs w:val="17"/>
          <w:rtl w:val="0"/>
          <w:lang w:val="en-US"/>
        </w:rPr>
        <w:t>DETAILED INFORMATION</w:t>
      </w:r>
    </w:p>
    <w:p>
      <w:pPr>
        <w:pStyle w:val="Normal.0"/>
        <w:shd w:val="clear" w:color="auto" w:fill="ffffff"/>
        <w:spacing w:after="0" w:line="240" w:lineRule="auto"/>
        <w:ind w:left="450" w:firstLine="0"/>
        <w:rPr>
          <w:rFonts w:ascii="Verdana" w:cs="Verdana" w:hAnsi="Verdana" w:eastAsia="Verdana"/>
          <w:b w:val="1"/>
          <w:bCs w:val="1"/>
          <w:sz w:val="17"/>
          <w:szCs w:val="17"/>
        </w:rPr>
      </w:pPr>
    </w:p>
    <w:p>
      <w:pPr>
        <w:pStyle w:val="Normal.0"/>
        <w:numPr>
          <w:ilvl w:val="0"/>
          <w:numId w:val="5"/>
        </w:numPr>
      </w:pPr>
      <w:r>
        <w:rPr>
          <w:rtl w:val="0"/>
          <w:lang w:val="en-US"/>
        </w:rPr>
        <w:t>Module aim (aims)</w:t>
      </w:r>
    </w:p>
    <w:p>
      <w:pPr>
        <w:pStyle w:val="Normal.0"/>
        <w:jc w:val="both"/>
      </w:pPr>
      <w:r>
        <w:rPr>
          <w:rtl w:val="0"/>
          <w:lang w:val="en-US"/>
        </w:rPr>
        <w:t>The course will cover a wide range of issues related to visual art and architecture in Central Europe (Poland, Hungary, Czechia and German-speaking countries) in the age of Renaissance and Baroque. It will highlight the importance of royal and aristocratic patronage as vehicles for disseminating artistic concepts and the impact of the protestant and catholic reformation on the diversity of religious art in the region. The participants will better understand the stylistic development of the arts in Central Europe by studying its key artistic centres and examples of artworks, monuments, and collections in their broad historical and cultural context.</w:t>
      </w:r>
    </w:p>
    <w:p>
      <w:pPr>
        <w:pStyle w:val="Normal.0"/>
        <w:shd w:val="clear" w:color="auto" w:fill="ffffff"/>
        <w:spacing w:after="0" w:line="240" w:lineRule="auto"/>
        <w:ind w:left="450" w:firstLine="0"/>
        <w:rPr>
          <w:rFonts w:ascii="Verdana" w:cs="Verdana" w:hAnsi="Verdana" w:eastAsia="Verdana"/>
          <w:sz w:val="17"/>
          <w:szCs w:val="17"/>
        </w:rPr>
      </w:pPr>
    </w:p>
    <w:p>
      <w:pPr>
        <w:pStyle w:val="Normal.0"/>
        <w:numPr>
          <w:ilvl w:val="0"/>
          <w:numId w:val="6"/>
        </w:numPr>
      </w:pPr>
      <w:r>
        <w:rPr>
          <w:rtl w:val="0"/>
        </w:rPr>
        <w:t>Pre-requisites in terms of knowledge, skills and social competences (where relevant)</w:t>
      </w:r>
    </w:p>
    <w:p>
      <w:pPr>
        <w:pStyle w:val="Normal.0"/>
        <w:jc w:val="both"/>
        <w:rPr>
          <w:rFonts w:ascii="Verdana" w:cs="Verdana" w:hAnsi="Verdana" w:eastAsia="Verdana"/>
          <w:sz w:val="17"/>
          <w:szCs w:val="17"/>
        </w:rPr>
      </w:pPr>
      <w:r>
        <w:rPr>
          <w:rtl w:val="0"/>
          <w:lang w:val="en-US"/>
        </w:rPr>
        <w:t>Sufficient knowledge of English to read and analyze academic texts and take part in discussions. An understanding of the history and culture of Central Europe in the modern era is also welcome, although not required.</w:t>
      </w:r>
    </w:p>
    <w:p>
      <w:pPr>
        <w:pStyle w:val="Normal.0"/>
        <w:spacing w:after="0" w:line="240" w:lineRule="auto"/>
        <w:rPr>
          <w:rFonts w:ascii="Verdana" w:cs="Verdana" w:hAnsi="Verdana" w:eastAsia="Verdana"/>
          <w:b w:val="1"/>
          <w:bCs w:val="1"/>
          <w:sz w:val="17"/>
          <w:szCs w:val="17"/>
        </w:rPr>
      </w:pPr>
    </w:p>
    <w:p>
      <w:pPr>
        <w:pStyle w:val="Normal.0"/>
        <w:spacing w:after="0" w:line="240" w:lineRule="auto"/>
        <w:rPr>
          <w:rFonts w:ascii="Verdana" w:cs="Verdana" w:hAnsi="Verdana" w:eastAsia="Verdana"/>
          <w:b w:val="1"/>
          <w:bCs w:val="1"/>
          <w:sz w:val="17"/>
          <w:szCs w:val="17"/>
        </w:rPr>
      </w:pPr>
      <w:r>
        <w:rPr>
          <w:rFonts w:ascii="Verdana" w:hAnsi="Verdana"/>
          <w:b w:val="1"/>
          <w:bCs w:val="1"/>
          <w:sz w:val="17"/>
          <w:szCs w:val="17"/>
          <w:rtl w:val="0"/>
          <w:lang w:val="en-US"/>
        </w:rPr>
        <w:t>READING LIST</w:t>
      </w:r>
    </w:p>
    <w:p>
      <w:pPr>
        <w:pStyle w:val="Normal.0"/>
        <w:spacing w:after="0" w:line="240" w:lineRule="auto"/>
        <w:rPr>
          <w:rFonts w:ascii="Verdana" w:cs="Verdana" w:hAnsi="Verdana" w:eastAsia="Verdana"/>
          <w:sz w:val="17"/>
          <w:szCs w:val="17"/>
        </w:rPr>
      </w:pP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it-IT"/>
        </w:rPr>
        <w:t>J. Bia</w:t>
      </w:r>
      <w:r>
        <w:rPr>
          <w:rFonts w:ascii="Verdana" w:hAnsi="Verdana" w:hint="default"/>
          <w:sz w:val="17"/>
          <w:szCs w:val="17"/>
          <w:shd w:val="clear" w:color="auto" w:fill="ffffff"/>
          <w:rtl w:val="0"/>
        </w:rPr>
        <w:t>ł</w:t>
      </w:r>
      <w:r>
        <w:rPr>
          <w:rFonts w:ascii="Verdana" w:hAnsi="Verdana"/>
          <w:sz w:val="17"/>
          <w:szCs w:val="17"/>
          <w:shd w:val="clear" w:color="auto" w:fill="ffffff"/>
          <w:rtl w:val="0"/>
          <w:lang w:val="en-US"/>
        </w:rPr>
        <w:t xml:space="preserve">ostocki, The Art of the Renaissance in Eastern Europe: Hungary </w:t>
      </w:r>
      <w:r>
        <w:rPr>
          <w:rFonts w:ascii="Verdana" w:hAnsi="Verdana" w:hint="default"/>
          <w:sz w:val="17"/>
          <w:szCs w:val="17"/>
          <w:shd w:val="clear" w:color="auto" w:fill="ffffff"/>
          <w:rtl w:val="0"/>
        </w:rPr>
        <w:t xml:space="preserve">– </w:t>
      </w:r>
      <w:r>
        <w:rPr>
          <w:rFonts w:ascii="Verdana" w:hAnsi="Verdana"/>
          <w:sz w:val="17"/>
          <w:szCs w:val="17"/>
          <w:shd w:val="clear" w:color="auto" w:fill="ffffff"/>
          <w:rtl w:val="0"/>
        </w:rPr>
        <w:t xml:space="preserve">Bohemia </w:t>
      </w:r>
      <w:r>
        <w:rPr>
          <w:rFonts w:ascii="Verdana" w:hAnsi="Verdana" w:hint="default"/>
          <w:sz w:val="17"/>
          <w:szCs w:val="17"/>
          <w:shd w:val="clear" w:color="auto" w:fill="ffffff"/>
          <w:rtl w:val="0"/>
        </w:rPr>
        <w:t xml:space="preserve">– </w:t>
      </w:r>
      <w:r>
        <w:rPr>
          <w:rFonts w:ascii="Verdana" w:hAnsi="Verdana"/>
          <w:sz w:val="17"/>
          <w:szCs w:val="17"/>
          <w:shd w:val="clear" w:color="auto" w:fill="ffffff"/>
          <w:rtl w:val="0"/>
        </w:rPr>
        <w:t>Poland, London 1976.</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en-US"/>
        </w:rPr>
        <w:t>M. Brusatin, The Baroque in Central Europe: place, architecture and art, Venice 1992.</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en-US"/>
        </w:rPr>
        <w:t>T. DaCosta Kaufmann, The school of Prague: painting at the count of Rudolf II, Chicago University Press 1988.</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en-US"/>
        </w:rPr>
        <w:t>T. DaCosta Kaufmann, Court, cloister &amp; city: the art and culture of Central Europe, 1450-1800, London 1995.</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en-US"/>
        </w:rPr>
        <w:t>T. Da Costa Kaufmann, Toward a Geography of Art History, Chicago University Press 2004.</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es-ES_tradnl"/>
        </w:rPr>
        <w:t>E. Hempel, Baroque</w:t>
      </w:r>
      <w:r>
        <w:rPr>
          <w:rFonts w:ascii="Verdana" w:hAnsi="Verdana" w:hint="default"/>
          <w:sz w:val="17"/>
          <w:szCs w:val="17"/>
          <w:shd w:val="clear" w:color="auto" w:fill="ffffff"/>
          <w:rtl w:val="0"/>
        </w:rPr>
        <w:t> </w:t>
      </w:r>
      <w:r>
        <w:rPr>
          <w:rFonts w:ascii="Verdana" w:hAnsi="Verdana"/>
          <w:sz w:val="17"/>
          <w:szCs w:val="17"/>
          <w:shd w:val="clear" w:color="auto" w:fill="ffffff"/>
          <w:rtl w:val="0"/>
        </w:rPr>
        <w:t>art</w:t>
      </w:r>
      <w:r>
        <w:rPr>
          <w:rFonts w:ascii="Verdana" w:hAnsi="Verdana" w:hint="default"/>
          <w:sz w:val="17"/>
          <w:szCs w:val="17"/>
          <w:shd w:val="clear" w:color="auto" w:fill="ffffff"/>
          <w:rtl w:val="0"/>
        </w:rPr>
        <w:t> </w:t>
      </w:r>
      <w:r>
        <w:rPr>
          <w:rFonts w:ascii="Verdana" w:hAnsi="Verdana"/>
          <w:sz w:val="17"/>
          <w:szCs w:val="17"/>
          <w:shd w:val="clear" w:color="auto" w:fill="ffffff"/>
          <w:rtl w:val="0"/>
          <w:lang w:val="en-US"/>
        </w:rPr>
        <w:t>and architecture in</w:t>
      </w:r>
      <w:r>
        <w:rPr>
          <w:rFonts w:ascii="Verdana" w:hAnsi="Verdana" w:hint="default"/>
          <w:sz w:val="17"/>
          <w:szCs w:val="17"/>
          <w:shd w:val="clear" w:color="auto" w:fill="ffffff"/>
          <w:rtl w:val="0"/>
        </w:rPr>
        <w:t> </w:t>
      </w:r>
      <w:r>
        <w:rPr>
          <w:rFonts w:ascii="Verdana" w:hAnsi="Verdana"/>
          <w:sz w:val="17"/>
          <w:szCs w:val="17"/>
          <w:shd w:val="clear" w:color="auto" w:fill="ffffff"/>
          <w:rtl w:val="0"/>
          <w:lang w:val="it-IT"/>
        </w:rPr>
        <w:t>Central</w:t>
      </w:r>
      <w:r>
        <w:rPr>
          <w:rFonts w:ascii="Verdana" w:hAnsi="Verdana" w:hint="default"/>
          <w:sz w:val="17"/>
          <w:szCs w:val="17"/>
          <w:shd w:val="clear" w:color="auto" w:fill="ffffff"/>
          <w:rtl w:val="0"/>
        </w:rPr>
        <w:t> </w:t>
      </w:r>
      <w:r>
        <w:rPr>
          <w:rFonts w:ascii="Verdana" w:hAnsi="Verdana"/>
          <w:sz w:val="17"/>
          <w:szCs w:val="17"/>
          <w:shd w:val="clear" w:color="auto" w:fill="ffffff"/>
          <w:rtl w:val="0"/>
        </w:rPr>
        <w:t>Europe</w:t>
      </w:r>
      <w:r>
        <w:rPr>
          <w:rFonts w:ascii="Verdana" w:hAnsi="Verdana" w:hint="default"/>
          <w:sz w:val="17"/>
          <w:szCs w:val="17"/>
          <w:shd w:val="clear" w:color="auto" w:fill="ffffff"/>
          <w:rtl w:val="0"/>
        </w:rPr>
        <w:t> </w:t>
      </w:r>
      <w:r>
        <w:rPr>
          <w:rFonts w:ascii="Verdana" w:hAnsi="Verdana"/>
          <w:sz w:val="17"/>
          <w:szCs w:val="17"/>
          <w:shd w:val="clear" w:color="auto" w:fill="ffffff"/>
          <w:rtl w:val="0"/>
          <w:lang w:val="en-US"/>
        </w:rPr>
        <w:t>: Germany, Austria, Switzerland, Hungary, Czechoslovakia, Poland : painting and sculpture: seventeenth and eighteenth centuries, architecture: sixteenth to eighteenth centuries, Penguin Books 1965.</w:t>
      </w:r>
    </w:p>
    <w:p>
      <w:pPr>
        <w:pStyle w:val="Default"/>
        <w:bidi w:val="0"/>
        <w:spacing w:before="0" w:after="240"/>
        <w:ind w:left="0" w:right="0" w:firstLine="0"/>
        <w:jc w:val="left"/>
        <w:rPr>
          <w:rFonts w:ascii="Verdana" w:cs="Verdana" w:hAnsi="Verdana" w:eastAsia="Verdana"/>
          <w:sz w:val="17"/>
          <w:szCs w:val="17"/>
          <w:shd w:val="clear" w:color="auto" w:fill="ffffff"/>
          <w:rtl w:val="0"/>
        </w:rPr>
      </w:pPr>
      <w:r>
        <w:rPr>
          <w:rFonts w:ascii="Verdana" w:hAnsi="Verdana"/>
          <w:sz w:val="17"/>
          <w:szCs w:val="17"/>
          <w:shd w:val="clear" w:color="auto" w:fill="ffffff"/>
          <w:rtl w:val="0"/>
          <w:lang w:val="it-IT"/>
        </w:rPr>
        <w:t>M. Mojzer, Baroque Art in Central-Europe: Crossroads, Budapest 1993.</w:t>
      </w:r>
    </w:p>
    <w:p>
      <w:pPr>
        <w:pStyle w:val="Default"/>
        <w:bidi w:val="0"/>
        <w:spacing w:before="0" w:after="240"/>
        <w:ind w:left="0" w:right="0" w:firstLine="0"/>
        <w:jc w:val="left"/>
        <w:rPr>
          <w:rFonts w:ascii="Verdana" w:cs="Verdana" w:hAnsi="Verdana" w:eastAsia="Verdana"/>
          <w:b w:val="1"/>
          <w:bCs w:val="1"/>
          <w:sz w:val="17"/>
          <w:szCs w:val="17"/>
          <w:shd w:val="clear" w:color="auto" w:fill="ffffff"/>
          <w:rtl w:val="0"/>
        </w:rPr>
      </w:pPr>
      <w:r>
        <w:rPr>
          <w:rFonts w:ascii="Verdana" w:hAnsi="Verdana"/>
          <w:sz w:val="17"/>
          <w:szCs w:val="17"/>
          <w:shd w:val="clear" w:color="auto" w:fill="ffffff"/>
          <w:rtl w:val="0"/>
          <w:lang w:val="en-US"/>
        </w:rPr>
        <w:t>J. Ostrowski, Land of the Winged Horsemen: Art in Poland 1572-1764, Virginia 1999.</w:t>
      </w:r>
      <w:r>
        <w:rPr>
          <w:rFonts w:ascii="Verdana" w:cs="Verdana" w:hAnsi="Verdana" w:eastAsia="Verdana"/>
          <w:sz w:val="17"/>
          <w:szCs w:val="17"/>
          <w:shd w:val="clear" w:color="auto" w:fill="ffffff"/>
          <w:rtl w:val="0"/>
        </w:rPr>
        <w:br w:type="textWrapping"/>
        <w:br w:type="textWrapping"/>
      </w:r>
      <w:r>
        <w:rPr>
          <w:rFonts w:ascii="Verdana" w:hAnsi="Verdana"/>
          <w:b w:val="1"/>
          <w:bCs w:val="1"/>
          <w:sz w:val="17"/>
          <w:szCs w:val="17"/>
          <w:shd w:val="clear" w:color="auto" w:fill="ffffff"/>
          <w:rtl w:val="0"/>
        </w:rPr>
        <w:t>SYLLABUS:</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w:t>
        <w:tab/>
        <w:tab/>
      </w:r>
      <w:r>
        <w:rPr>
          <w:rFonts w:ascii="Verdana" w:hAnsi="Verdana"/>
          <w:sz w:val="17"/>
          <w:szCs w:val="17"/>
          <w:rtl w:val="0"/>
          <w:lang w:val="en-US"/>
        </w:rPr>
        <w:t>Introduction and general overview</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2:</w:t>
        <w:tab/>
        <w:tab/>
      </w:r>
      <w:r>
        <w:rPr>
          <w:rFonts w:ascii="Verdana" w:hAnsi="Verdana"/>
          <w:sz w:val="17"/>
          <w:szCs w:val="17"/>
          <w:rtl w:val="0"/>
          <w:lang w:val="en-US"/>
        </w:rPr>
        <w:t>Buda, Cracow, Prague - the art of the courts in the 16th C. (I)</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3:</w:t>
        <w:tab/>
        <w:tab/>
      </w:r>
      <w:r>
        <w:rPr>
          <w:rFonts w:ascii="Verdana" w:hAnsi="Verdana"/>
          <w:sz w:val="17"/>
          <w:szCs w:val="17"/>
          <w:rtl w:val="0"/>
          <w:lang w:val="en-US"/>
        </w:rPr>
        <w:t>Buda, Cracow, Prague - the art of the courts in the 16th C. (II)</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4:</w:t>
        <w:tab/>
        <w:t xml:space="preserve">            </w:t>
      </w:r>
      <w:r>
        <w:rPr>
          <w:rFonts w:ascii="Verdana" w:hAnsi="Verdana"/>
          <w:sz w:val="17"/>
          <w:szCs w:val="17"/>
          <w:rtl w:val="0"/>
          <w:lang w:val="en-US"/>
        </w:rPr>
        <w:t>The Renaissance in German-speaking Lands - D</w:t>
      </w:r>
      <w:r>
        <w:rPr>
          <w:rFonts w:ascii="Verdana" w:hAnsi="Verdana" w:hint="default"/>
          <w:sz w:val="17"/>
          <w:szCs w:val="17"/>
          <w:rtl w:val="0"/>
          <w:lang w:val="en-US"/>
        </w:rPr>
        <w:t>ü</w:t>
      </w:r>
      <w:r>
        <w:rPr>
          <w:rFonts w:ascii="Verdana" w:hAnsi="Verdana"/>
          <w:sz w:val="17"/>
          <w:szCs w:val="17"/>
          <w:rtl w:val="0"/>
          <w:lang w:val="en-US"/>
        </w:rPr>
        <w:t xml:space="preserve">rer and his contemporaries </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5:</w:t>
        <w:tab/>
        <w:tab/>
      </w:r>
      <w:r>
        <w:rPr>
          <w:rFonts w:ascii="Verdana" w:hAnsi="Verdana"/>
          <w:sz w:val="17"/>
          <w:szCs w:val="17"/>
          <w:rtl w:val="0"/>
          <w:lang w:val="en-US"/>
        </w:rPr>
        <w:t>The impact of the Reformation and the Cunter-reformation on the art in Central Europe</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6:</w:t>
        <w:tab/>
        <w:tab/>
      </w:r>
      <w:r>
        <w:rPr>
          <w:rFonts w:ascii="Verdana" w:hAnsi="Verdana"/>
          <w:sz w:val="17"/>
          <w:szCs w:val="17"/>
          <w:rtl w:val="0"/>
          <w:lang w:val="en-US"/>
        </w:rPr>
        <w:t>The patronage and the transformation of the courts in the age of Baroque (I)</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7:</w:t>
        <w:tab/>
        <w:tab/>
      </w:r>
      <w:r>
        <w:rPr>
          <w:rFonts w:ascii="Verdana" w:hAnsi="Verdana"/>
          <w:sz w:val="17"/>
          <w:szCs w:val="17"/>
          <w:rtl w:val="0"/>
          <w:lang w:val="en-US"/>
        </w:rPr>
        <w:t>The patronage and the transformation of the courts in the age of Baroque (II)</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8:</w:t>
        <w:tab/>
        <w:tab/>
      </w:r>
      <w:r>
        <w:rPr>
          <w:rFonts w:ascii="Verdana" w:hAnsi="Verdana"/>
          <w:sz w:val="17"/>
          <w:szCs w:val="17"/>
          <w:rtl w:val="0"/>
          <w:lang w:val="en-US"/>
        </w:rPr>
        <w:t>The Myth of Sarmatia - the art and culture of the Polish-Lithuanian Commonwealth in the 17-18th C.</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9:</w:t>
        <w:tab/>
      </w:r>
      <w:r>
        <w:rPr>
          <w:rFonts w:ascii="Verdana" w:cs="Verdana" w:hAnsi="Verdana" w:eastAsia="Verdana"/>
          <w:sz w:val="17"/>
          <w:szCs w:val="17"/>
        </w:rPr>
        <w:tab/>
      </w:r>
      <w:r>
        <w:rPr>
          <w:rFonts w:ascii="Verdana" w:hAnsi="Verdana"/>
          <w:sz w:val="17"/>
          <w:szCs w:val="17"/>
          <w:rtl w:val="0"/>
          <w:lang w:val="en-US"/>
        </w:rPr>
        <w:t>German art and architecture of the 18 C. in its European context</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10:</w:t>
        <w:tab/>
      </w:r>
      <w:r>
        <w:rPr>
          <w:rFonts w:ascii="Verdana" w:hAnsi="Verdana"/>
          <w:sz w:val="17"/>
          <w:szCs w:val="17"/>
          <w:rtl w:val="0"/>
        </w:rPr>
        <w:t>Art a</w:t>
      </w:r>
      <w:r>
        <w:rPr>
          <w:rFonts w:ascii="Verdana" w:hAnsi="Verdana"/>
          <w:sz w:val="17"/>
          <w:szCs w:val="17"/>
          <w:rtl w:val="0"/>
          <w:lang w:val="en-US"/>
        </w:rPr>
        <w:t>nd the Kunstkammer - collecting art in Central Europe</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11:</w:t>
        <w:tab/>
        <w:t>Student presentations</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12:</w:t>
        <w:tab/>
        <w:t>Student presentations</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13:</w:t>
        <w:tab/>
        <w:t>Student presentations</w:t>
      </w:r>
    </w:p>
    <w:p>
      <w:pPr>
        <w:pStyle w:val="Normal.0"/>
        <w:spacing w:after="0" w:line="240" w:lineRule="auto"/>
        <w:rPr>
          <w:rFonts w:ascii="Verdana" w:cs="Verdana" w:hAnsi="Verdana" w:eastAsia="Verdana"/>
          <w:sz w:val="17"/>
          <w:szCs w:val="17"/>
        </w:rPr>
      </w:pPr>
      <w:r>
        <w:rPr>
          <w:rFonts w:ascii="Verdana" w:hAnsi="Verdana"/>
          <w:sz w:val="17"/>
          <w:szCs w:val="17"/>
          <w:rtl w:val="0"/>
          <w:lang w:val="en-US"/>
        </w:rPr>
        <w:t>Week 14:</w:t>
        <w:tab/>
        <w:t>Student presentations</w:t>
      </w:r>
    </w:p>
    <w:p>
      <w:pPr>
        <w:pStyle w:val="Normal.0"/>
        <w:spacing w:after="0" w:line="240" w:lineRule="auto"/>
      </w:pPr>
      <w:r>
        <w:rPr>
          <w:rFonts w:ascii="Verdana" w:hAnsi="Verdana"/>
          <w:sz w:val="17"/>
          <w:szCs w:val="17"/>
          <w:rtl w:val="0"/>
          <w:lang w:val="en-US"/>
        </w:rPr>
        <w:t>Week 15:</w:t>
        <w:tab/>
        <w:t>Student presentations</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Light">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556" w:hanging="46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76" w:hanging="46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96" w:hanging="4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16" w:hanging="46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6" w:hanging="46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156" w:hanging="4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76" w:hanging="4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596" w:hanging="4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316" w:hanging="4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6"/>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Title A">
    <w:name w:val="Title A"/>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Times New Roman"/>
        <a:ea typeface="Times New Roman"/>
        <a:cs typeface="Times New Roman"/>
      </a:majorFont>
      <a:minorFont>
        <a:latin typeface="Times New Roman"/>
        <a:ea typeface="Times New Roman"/>
        <a:cs typeface="Times New Roman"/>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